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0E459A">
        <w:rPr>
          <w:b/>
          <w:bCs/>
        </w:rPr>
        <w:t>1168</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295A41">
        <w:tab/>
      </w:r>
      <w:r w:rsidR="000E459A">
        <w:t>18.10</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B47FB2">
      <w:pPr>
        <w:pStyle w:val="af2"/>
        <w:spacing w:line="276" w:lineRule="auto"/>
        <w:ind w:firstLine="426"/>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B47FB2">
      <w:pPr>
        <w:pStyle w:val="af2"/>
        <w:spacing w:line="276" w:lineRule="auto"/>
        <w:ind w:firstLine="426"/>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Pr="00B47FB2" w:rsidRDefault="00106CA7" w:rsidP="00B47FB2">
      <w:pPr>
        <w:pStyle w:val="af1"/>
        <w:spacing w:line="276" w:lineRule="auto"/>
        <w:ind w:firstLine="426"/>
        <w:jc w:val="both"/>
        <w:rPr>
          <w:b/>
          <w:sz w:val="22"/>
          <w:szCs w:val="22"/>
          <w:u w:val="single"/>
          <w:lang w:val="ru-RU"/>
        </w:rPr>
      </w:pPr>
      <w:r w:rsidRPr="003A0AD4">
        <w:rPr>
          <w:b/>
          <w:sz w:val="22"/>
          <w:szCs w:val="22"/>
          <w:u w:val="single"/>
          <w:lang w:val="ru-RU"/>
        </w:rPr>
        <w:t xml:space="preserve">Предмет договора: </w:t>
      </w:r>
      <w:r w:rsidR="00B47FB2" w:rsidRPr="00B47FB2">
        <w:rPr>
          <w:b/>
          <w:bCs/>
          <w:sz w:val="22"/>
          <w:szCs w:val="22"/>
          <w:u w:val="single"/>
          <w:lang w:val="ru-RU"/>
        </w:rPr>
        <w:t>Работы по текущему и капитальному ремонту автомобильной техники, узлов и силовых агрегатов, а также техническому обслуживанию автомобильной техники;</w:t>
      </w:r>
    </w:p>
    <w:p w:rsidR="006175A4" w:rsidRPr="00B47FB2" w:rsidRDefault="00BF254F" w:rsidP="00B47FB2">
      <w:pPr>
        <w:pStyle w:val="af1"/>
        <w:spacing w:line="276" w:lineRule="auto"/>
        <w:ind w:firstLine="426"/>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B47FB2" w:rsidRPr="00B47FB2">
        <w:rPr>
          <w:b/>
          <w:bCs/>
          <w:sz w:val="22"/>
          <w:szCs w:val="22"/>
          <w:lang w:val="ru-RU"/>
        </w:rPr>
        <w:t>3 условные единицы;</w:t>
      </w:r>
    </w:p>
    <w:p w:rsidR="00190C5C" w:rsidRPr="00370F24" w:rsidRDefault="00CC4B9C" w:rsidP="00B47FB2">
      <w:pPr>
        <w:pStyle w:val="af1"/>
        <w:spacing w:line="276" w:lineRule="auto"/>
        <w:ind w:firstLine="426"/>
        <w:jc w:val="both"/>
        <w:rPr>
          <w:sz w:val="22"/>
          <w:szCs w:val="22"/>
          <w:lang w:val="ru-RU"/>
        </w:rPr>
      </w:pPr>
      <w:r w:rsidRPr="00CC4B9C">
        <w:rPr>
          <w:b/>
          <w:sz w:val="22"/>
          <w:szCs w:val="22"/>
          <w:lang w:val="ru-RU"/>
        </w:rPr>
        <w:t xml:space="preserve">Место поставки товара, выполнения работ, оказания услуг: </w:t>
      </w:r>
      <w:r w:rsidR="007478DD" w:rsidRPr="007478DD">
        <w:rPr>
          <w:sz w:val="22"/>
          <w:szCs w:val="22"/>
          <w:lang w:val="ru-RU"/>
        </w:rPr>
        <w:t>Работы выполняются на территории обособленного подразделения сервисного центра Исполнителя</w:t>
      </w:r>
      <w:r w:rsidR="007478DD" w:rsidRPr="00B47FB2">
        <w:rPr>
          <w:bCs/>
          <w:sz w:val="22"/>
          <w:szCs w:val="22"/>
          <w:lang w:val="ru-RU"/>
        </w:rPr>
        <w:t xml:space="preserve"> </w:t>
      </w:r>
      <w:r w:rsidR="007478DD">
        <w:rPr>
          <w:bCs/>
          <w:sz w:val="22"/>
          <w:szCs w:val="22"/>
          <w:lang w:val="ru-RU"/>
        </w:rPr>
        <w:t xml:space="preserve">по адресу: </w:t>
      </w:r>
      <w:r w:rsidR="00B47FB2" w:rsidRPr="00B47FB2">
        <w:rPr>
          <w:bCs/>
          <w:sz w:val="22"/>
          <w:szCs w:val="22"/>
          <w:lang w:val="ru-RU"/>
        </w:rPr>
        <w:t>Республика Марий Эл, Медведевский район, п.Знаменский, ул.Черепанова, д.11</w:t>
      </w:r>
      <w:r w:rsidR="00AD676E" w:rsidRPr="00AD676E">
        <w:rPr>
          <w:bCs/>
          <w:sz w:val="22"/>
          <w:szCs w:val="22"/>
          <w:lang w:val="ru-RU"/>
        </w:rPr>
        <w:t>;</w:t>
      </w:r>
    </w:p>
    <w:p w:rsidR="006175A4" w:rsidRPr="00B47FB2" w:rsidRDefault="00CC4B9C" w:rsidP="00B47FB2">
      <w:pPr>
        <w:pStyle w:val="af1"/>
        <w:spacing w:line="276" w:lineRule="auto"/>
        <w:ind w:firstLine="426"/>
        <w:jc w:val="both"/>
        <w:rPr>
          <w:b/>
          <w:sz w:val="22"/>
          <w:szCs w:val="22"/>
          <w:lang w:val="ru-RU"/>
        </w:rPr>
      </w:pPr>
      <w:r w:rsidRPr="00CC4B9C">
        <w:rPr>
          <w:b/>
          <w:sz w:val="22"/>
          <w:szCs w:val="22"/>
          <w:lang w:val="ru-RU"/>
        </w:rPr>
        <w:t xml:space="preserve">Срок поставки товара, выполнения работ, оказания услуг: </w:t>
      </w:r>
      <w:r w:rsidR="00B47FB2" w:rsidRPr="00B47FB2">
        <w:rPr>
          <w:bCs/>
          <w:sz w:val="22"/>
          <w:szCs w:val="22"/>
          <w:lang w:val="ru-RU"/>
        </w:rPr>
        <w:t>с момента поступления предварительной оплаты на расчетный счет Исполнителя до 31.12.2023г включительно.</w:t>
      </w:r>
    </w:p>
    <w:p w:rsidR="00373381" w:rsidRPr="00AD676E" w:rsidRDefault="00365B18" w:rsidP="004A1A0B">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B47FB2" w:rsidRPr="00B47FB2">
        <w:rPr>
          <w:sz w:val="22"/>
          <w:szCs w:val="22"/>
        </w:rPr>
        <w:t>Работы выполняются с использованием запасных частей и материалов Исполнителя. При согласии Сторон для ремонта автомобилей могут быть использованы предоставленные Заказчиком запасные части и материалы.</w:t>
      </w:r>
    </w:p>
    <w:p w:rsidR="006175A4" w:rsidRPr="00B47FB2" w:rsidRDefault="00CC4B9C" w:rsidP="00B47FB2">
      <w:pPr>
        <w:pStyle w:val="af1"/>
        <w:spacing w:line="276" w:lineRule="auto"/>
        <w:ind w:firstLine="426"/>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47FB2" w:rsidRPr="00B47FB2">
        <w:rPr>
          <w:b/>
          <w:bCs/>
          <w:sz w:val="22"/>
          <w:szCs w:val="22"/>
          <w:lang w:val="ru-RU"/>
        </w:rPr>
        <w:t>250 000 (Двести пятьдесят тысяч) руб. 00 коп.</w:t>
      </w:r>
    </w:p>
    <w:p w:rsidR="00B47FB2" w:rsidRPr="00B47FB2" w:rsidRDefault="006175A4" w:rsidP="00B47FB2">
      <w:pPr>
        <w:widowControl w:val="0"/>
        <w:shd w:val="clear" w:color="auto" w:fill="FFFFFF"/>
        <w:autoSpaceDE w:val="0"/>
        <w:autoSpaceDN w:val="0"/>
        <w:adjustRightInd w:val="0"/>
        <w:spacing w:line="276" w:lineRule="auto"/>
        <w:ind w:right="5" w:firstLine="426"/>
        <w:jc w:val="both"/>
        <w:rPr>
          <w:bCs/>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w:t>
      </w:r>
      <w:r w:rsidR="00B47FB2" w:rsidRPr="00B47FB2">
        <w:rPr>
          <w:bCs/>
          <w:sz w:val="22"/>
          <w:szCs w:val="22"/>
        </w:rPr>
        <w:t xml:space="preserve">Заказчик производит оплату в размере 100% предварительной стоимости работ, и необходимых запасных частей, материалов для выполнения работ, в течение 3 (трех) банковских дней с даты выставления счета Исполнителем Заказчику. </w:t>
      </w:r>
    </w:p>
    <w:p w:rsidR="00B47FB2" w:rsidRPr="00B47FB2" w:rsidRDefault="00B47FB2" w:rsidP="00B47FB2">
      <w:pPr>
        <w:widowControl w:val="0"/>
        <w:shd w:val="clear" w:color="auto" w:fill="FFFFFF"/>
        <w:autoSpaceDE w:val="0"/>
        <w:autoSpaceDN w:val="0"/>
        <w:adjustRightInd w:val="0"/>
        <w:spacing w:line="276" w:lineRule="auto"/>
        <w:ind w:right="5" w:firstLine="426"/>
        <w:jc w:val="both"/>
        <w:rPr>
          <w:bCs/>
          <w:sz w:val="22"/>
          <w:szCs w:val="22"/>
        </w:rPr>
      </w:pPr>
      <w:r w:rsidRPr="00B47FB2">
        <w:rPr>
          <w:bCs/>
          <w:sz w:val="22"/>
          <w:szCs w:val="22"/>
        </w:rPr>
        <w:t>Предварительная стоимость работ, запасных частей и материалов для выполнения работ определяется по ценам Исполнителя, действующим на дату принятия автомобиля в ремонт (ТО), и указывается в счете на предварительную оплату.</w:t>
      </w:r>
    </w:p>
    <w:p w:rsidR="00B47FB2" w:rsidRPr="00B47FB2" w:rsidRDefault="00B47FB2" w:rsidP="00B47FB2">
      <w:pPr>
        <w:widowControl w:val="0"/>
        <w:shd w:val="clear" w:color="auto" w:fill="FFFFFF"/>
        <w:autoSpaceDE w:val="0"/>
        <w:autoSpaceDN w:val="0"/>
        <w:adjustRightInd w:val="0"/>
        <w:spacing w:line="276" w:lineRule="auto"/>
        <w:ind w:right="5" w:firstLine="426"/>
        <w:jc w:val="both"/>
        <w:rPr>
          <w:bCs/>
          <w:sz w:val="22"/>
          <w:szCs w:val="22"/>
        </w:rPr>
      </w:pPr>
      <w:r w:rsidRPr="00B47FB2">
        <w:rPr>
          <w:bCs/>
          <w:sz w:val="22"/>
          <w:szCs w:val="22"/>
        </w:rPr>
        <w:t>Окончательная стоимость фактически выполненных работ и использованных запасных частей и материалов определяется по ценам Исполнителя, действующего на момент сдачи-приема работ и указывается в заказ-наряде (заказ-наряд - документ, подписанный Сторонами, в котором указывается полный перечень выполненных работ, использованных запасных частей и их общей стоимости) и УПД.</w:t>
      </w:r>
    </w:p>
    <w:p w:rsidR="002C3864" w:rsidRDefault="00B47FB2" w:rsidP="00B47FB2">
      <w:pPr>
        <w:widowControl w:val="0"/>
        <w:shd w:val="clear" w:color="auto" w:fill="FFFFFF"/>
        <w:autoSpaceDE w:val="0"/>
        <w:autoSpaceDN w:val="0"/>
        <w:adjustRightInd w:val="0"/>
        <w:spacing w:line="276" w:lineRule="auto"/>
        <w:ind w:right="5" w:firstLine="426"/>
        <w:jc w:val="both"/>
        <w:rPr>
          <w:sz w:val="22"/>
          <w:szCs w:val="22"/>
        </w:rPr>
      </w:pPr>
      <w:r w:rsidRPr="00B47FB2">
        <w:rPr>
          <w:bCs/>
          <w:sz w:val="22"/>
          <w:szCs w:val="22"/>
        </w:rPr>
        <w:t>В случае, если окончательная стоимость выполненных работ, использованных запасных частей и материалов превысила предварительную стоимость, Заказчик производит доплату за фактически выполненные работы, а также использованные запасные части и материалы, в течение 3 (трех) банковских дней с даты выставления Исполнителем Заказчику счета на доплату.</w:t>
      </w:r>
      <w:r w:rsidR="002C3864" w:rsidRPr="002C3864">
        <w:rPr>
          <w:sz w:val="22"/>
          <w:szCs w:val="22"/>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4A1A0B"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lastRenderedPageBreak/>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4A1A0B">
        <w:rPr>
          <w:sz w:val="22"/>
          <w:szCs w:val="22"/>
          <w:lang w:val="ru-RU"/>
        </w:rPr>
        <w:t>4</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4A1A0B" w:rsidRPr="004A1A0B" w:rsidRDefault="0028615C" w:rsidP="00B47FB2">
      <w:pPr>
        <w:pStyle w:val="af1"/>
        <w:spacing w:line="276" w:lineRule="auto"/>
        <w:ind w:firstLine="851"/>
        <w:jc w:val="both"/>
        <w:rPr>
          <w:sz w:val="22"/>
          <w:szCs w:val="22"/>
          <w:lang w:val="ru-RU"/>
        </w:rPr>
      </w:pPr>
      <w:r w:rsidRPr="0028615C">
        <w:rPr>
          <w:sz w:val="22"/>
          <w:szCs w:val="22"/>
          <w:lang w:val="ru-RU"/>
        </w:rPr>
        <w:t>«</w:t>
      </w:r>
      <w:r w:rsidR="004A1A0B" w:rsidRPr="004A1A0B">
        <w:rPr>
          <w:sz w:val="22"/>
          <w:szCs w:val="22"/>
          <w:lang w:val="ru-RU"/>
        </w:rPr>
        <w:t xml:space="preserve">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AD676E" w:rsidRDefault="004A1A0B" w:rsidP="004A1A0B">
      <w:pPr>
        <w:pStyle w:val="af1"/>
        <w:spacing w:line="276" w:lineRule="auto"/>
        <w:ind w:firstLine="851"/>
        <w:jc w:val="both"/>
        <w:rPr>
          <w:lang w:val="ru-RU"/>
        </w:rPr>
      </w:pPr>
      <w:r w:rsidRPr="004A1A0B">
        <w:rPr>
          <w:sz w:val="22"/>
          <w:szCs w:val="22"/>
          <w:lang w:val="ru-RU"/>
        </w:rPr>
        <w:t xml:space="preserve">  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28615C" w:rsidRPr="0028615C">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B47FB2">
        <w:rPr>
          <w:bCs/>
          <w:sz w:val="22"/>
          <w:szCs w:val="22"/>
          <w:lang w:val="ru-RU"/>
        </w:rPr>
        <w:t>р</w:t>
      </w:r>
      <w:r w:rsidR="00B47FB2" w:rsidRPr="00B47FB2">
        <w:rPr>
          <w:bCs/>
          <w:sz w:val="22"/>
          <w:szCs w:val="22"/>
          <w:lang w:val="ru-RU"/>
        </w:rPr>
        <w:t>аботы по текущему и капитальному ремонту автомобильной техники, узлов и силовых агрегатов, а также техническому обслуживанию автомобильной техники</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B47FB2" w:rsidP="0028615C">
      <w:pPr>
        <w:spacing w:line="276" w:lineRule="auto"/>
        <w:ind w:left="426" w:right="-77"/>
        <w:jc w:val="center"/>
        <w:rPr>
          <w:b/>
          <w:bCs/>
          <w:sz w:val="22"/>
          <w:szCs w:val="22"/>
        </w:rPr>
      </w:pPr>
      <w:r w:rsidRPr="00B47FB2">
        <w:rPr>
          <w:b/>
          <w:bCs/>
          <w:sz w:val="22"/>
          <w:szCs w:val="22"/>
        </w:rPr>
        <w:t>АКЦИОНЕРНОЕ ОБЩЕСТВО "ТОРГОВО-ФИНАНСОВАЯ КОМПАНИЯ "КАМАЗ"</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7478DD" w:rsidRPr="007478DD">
        <w:rPr>
          <w:b/>
          <w:bCs/>
          <w:sz w:val="22"/>
          <w:szCs w:val="22"/>
        </w:rPr>
        <w:t>1653019048</w:t>
      </w:r>
      <w:r w:rsidR="00AD676E">
        <w:rPr>
          <w:b/>
          <w:bCs/>
          <w:sz w:val="22"/>
          <w:szCs w:val="22"/>
        </w:rPr>
        <w:t>/</w:t>
      </w:r>
      <w:r w:rsidR="007478DD" w:rsidRPr="007478DD">
        <w:rPr>
          <w:b/>
          <w:bCs/>
          <w:sz w:val="22"/>
          <w:szCs w:val="22"/>
        </w:rPr>
        <w:t>165001001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7478DD" w:rsidRPr="007478DD">
        <w:rPr>
          <w:bCs/>
          <w:sz w:val="22"/>
          <w:szCs w:val="22"/>
        </w:rPr>
        <w:t>423800, Республика Татарстан (Татарстан), Г.О. ГОРОД НАБЕРЕЖНЫЕ ЧЕЛНЫ, Г НАБЕРЕЖНЫЕ ЧЕЛНЫ, ПРОЕЗД АВТОСБОРОЧНЫЙ, ЗД. 12</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DA1C05">
            <w:pPr>
              <w:spacing w:line="600" w:lineRule="auto"/>
              <w:jc w:val="both"/>
              <w:rPr>
                <w:bCs/>
                <w:sz w:val="22"/>
                <w:szCs w:val="22"/>
              </w:rPr>
            </w:pPr>
            <w:r>
              <w:rPr>
                <w:bCs/>
                <w:sz w:val="22"/>
                <w:szCs w:val="22"/>
              </w:rPr>
              <w:t>Александрова Е.И.</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612253">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070" w:rsidRDefault="00C23070">
      <w:r>
        <w:separator/>
      </w:r>
    </w:p>
  </w:endnote>
  <w:endnote w:type="continuationSeparator" w:id="1">
    <w:p w:rsidR="00C23070" w:rsidRDefault="00C230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070" w:rsidRDefault="00C23070">
      <w:r>
        <w:separator/>
      </w:r>
    </w:p>
  </w:footnote>
  <w:footnote w:type="continuationSeparator" w:id="1">
    <w:p w:rsidR="00C23070" w:rsidRDefault="00C230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459A"/>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124F2"/>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478DD"/>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076B2"/>
    <w:rsid w:val="009129D6"/>
    <w:rsid w:val="00923538"/>
    <w:rsid w:val="009250B6"/>
    <w:rsid w:val="0093177C"/>
    <w:rsid w:val="00933842"/>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0863"/>
    <w:rsid w:val="00A868D1"/>
    <w:rsid w:val="00A90362"/>
    <w:rsid w:val="00A904F8"/>
    <w:rsid w:val="00A95DA4"/>
    <w:rsid w:val="00A9771A"/>
    <w:rsid w:val="00AA0A1E"/>
    <w:rsid w:val="00AA1238"/>
    <w:rsid w:val="00AA1FF6"/>
    <w:rsid w:val="00AB502A"/>
    <w:rsid w:val="00AB640C"/>
    <w:rsid w:val="00AC219F"/>
    <w:rsid w:val="00AC3BD1"/>
    <w:rsid w:val="00AC42A3"/>
    <w:rsid w:val="00AD3FBE"/>
    <w:rsid w:val="00AD4FAF"/>
    <w:rsid w:val="00AD676E"/>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47FB2"/>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23070"/>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2023-01-30T12:35:00Z</cp:lastPrinted>
  <dcterms:created xsi:type="dcterms:W3CDTF">2023-10-13T13:48:00Z</dcterms:created>
  <dcterms:modified xsi:type="dcterms:W3CDTF">2023-10-18T06:36:00Z</dcterms:modified>
</cp:coreProperties>
</file>